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6068F8">
        <w:rPr>
          <w:rFonts w:asciiTheme="minorBidi" w:hAnsiTheme="minorBidi" w:cstheme="minorBidi"/>
        </w:rPr>
        <w:t>20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6068F8">
        <w:rPr>
          <w:rFonts w:asciiTheme="minorBidi" w:hAnsiTheme="minorBidi" w:cstheme="minorBidi"/>
        </w:rPr>
        <w:t xml:space="preserve"> 79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Волгоградской области от 1</w:t>
      </w:r>
      <w:r w:rsidR="00493F6A">
        <w:rPr>
          <w:rFonts w:asciiTheme="minorBidi" w:hAnsiTheme="minorBidi" w:cstheme="minorBidi"/>
        </w:rPr>
        <w:t>4</w:t>
      </w:r>
      <w:r w:rsidR="00A01D37">
        <w:rPr>
          <w:rFonts w:asciiTheme="minorBidi" w:hAnsiTheme="minorBidi" w:cstheme="minorBidi"/>
        </w:rPr>
        <w:t>.1</w:t>
      </w:r>
      <w:r w:rsidR="00493F6A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 xml:space="preserve">.2018г. № </w:t>
      </w:r>
      <w:r w:rsidR="00493F6A">
        <w:rPr>
          <w:rFonts w:asciiTheme="minorBidi" w:hAnsiTheme="minorBidi" w:cstheme="minorBidi"/>
        </w:rPr>
        <w:t>77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«Прием заявлений и выдача документов о согласовании переустройства и (или) перепланировки жилого помещения» (далее – Административный регламент) следующие изменения: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1.1.</w:t>
      </w:r>
      <w:r w:rsidRPr="00AA3049">
        <w:rPr>
          <w:rFonts w:asciiTheme="minorBidi" w:hAnsiTheme="minorBidi" w:cstheme="minorBidi"/>
        </w:rPr>
        <w:tab/>
        <w:t>Дополнить Административный регламент пунктом 2.6.4 следующего содержания: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 xml:space="preserve">«2.6.4. Администрация </w:t>
      </w:r>
      <w:proofErr w:type="spellStart"/>
      <w:r w:rsidRPr="00AA3049">
        <w:rPr>
          <w:rFonts w:asciiTheme="minorBidi" w:hAnsiTheme="minorBidi" w:cstheme="minorBidi"/>
        </w:rPr>
        <w:t>Верхнекурмоярского</w:t>
      </w:r>
      <w:proofErr w:type="spellEnd"/>
      <w:r w:rsidRPr="00AA3049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AA3049">
        <w:rPr>
          <w:rFonts w:asciiTheme="minorBidi" w:hAnsiTheme="minorBidi" w:cstheme="minorBidi"/>
        </w:rPr>
        <w:t>Верхнекурмоярского</w:t>
      </w:r>
      <w:proofErr w:type="spellEnd"/>
      <w:r w:rsidRPr="00AA3049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</w:t>
      </w:r>
      <w:r w:rsidRPr="00AA3049">
        <w:rPr>
          <w:rFonts w:asciiTheme="minorBidi" w:hAnsiTheme="minorBidi" w:cstheme="minorBidi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AA3049">
        <w:rPr>
          <w:rFonts w:asciiTheme="minorBidi" w:hAnsiTheme="minorBidi" w:cstheme="minorBidi"/>
        </w:rPr>
        <w:t>Верхнекурмоярского</w:t>
      </w:r>
      <w:proofErr w:type="spellEnd"/>
      <w:r w:rsidRPr="00AA3049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Pr="001D4AC5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AA3049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AA3049">
        <w:rPr>
          <w:rFonts w:asciiTheme="minorBidi" w:hAnsiTheme="minorBidi" w:cstheme="minorBidi"/>
        </w:rPr>
        <w:t>Верхнекурмоярского</w:t>
      </w:r>
      <w:proofErr w:type="spellEnd"/>
      <w:r w:rsidRPr="00AA3049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AA3049">
        <w:rPr>
          <w:rFonts w:asciiTheme="minorBidi" w:hAnsiTheme="minorBidi" w:cstheme="minorBidi"/>
        </w:rPr>
        <w:t>Верхнекурмоярского</w:t>
      </w:r>
      <w:proofErr w:type="spellEnd"/>
      <w:r w:rsidRPr="00AA3049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AA3049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AA3049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AA3049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068F8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AA3049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2A5C-2D64-4036-890B-BAA4FE37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2018-12-24T08:49:00Z</dcterms:created>
  <dcterms:modified xsi:type="dcterms:W3CDTF">2018-12-24T08:49:00Z</dcterms:modified>
</cp:coreProperties>
</file>