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6D" w:rsidRPr="000F776D" w:rsidRDefault="000F776D" w:rsidP="000F7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776D">
        <w:rPr>
          <w:rFonts w:ascii="Arial" w:eastAsia="Times New Roman" w:hAnsi="Arial" w:cs="Arial"/>
          <w:noProof/>
          <w:sz w:val="24"/>
          <w:szCs w:val="24"/>
          <w:lang w:eastAsia="zh-TW"/>
        </w:rPr>
        <w:drawing>
          <wp:inline distT="0" distB="0" distL="0" distR="0" wp14:anchorId="278A93EE" wp14:editId="19678B90">
            <wp:extent cx="695325" cy="914400"/>
            <wp:effectExtent l="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76D" w:rsidRPr="000F776D" w:rsidRDefault="000F776D" w:rsidP="000F77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0F776D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АДМИНИСТРАЦИЯ </w:t>
      </w:r>
    </w:p>
    <w:p w:rsidR="000F776D" w:rsidRPr="000F776D" w:rsidRDefault="000F776D" w:rsidP="000F77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0F776D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0F776D" w:rsidRPr="000F776D" w:rsidRDefault="000F776D" w:rsidP="000F77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77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КОТЕЛЬНИКОВСКОГО МУНИЦИПАЛЬНОГО РАЙОНА </w:t>
      </w:r>
    </w:p>
    <w:p w:rsidR="000F776D" w:rsidRPr="000F776D" w:rsidRDefault="000F776D" w:rsidP="000F77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77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F776D" w:rsidRPr="000F776D" w:rsidTr="000F776D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0F776D" w:rsidRPr="000F776D" w:rsidRDefault="000F776D" w:rsidP="000F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77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0F776D" w:rsidRPr="000F776D" w:rsidRDefault="000F776D" w:rsidP="000F776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7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</w:tbl>
    <w:p w:rsidR="000F776D" w:rsidRDefault="000F776D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29</w:t>
      </w:r>
      <w:r w:rsidRPr="000F776D">
        <w:rPr>
          <w:rFonts w:ascii="Arial" w:eastAsia="Times New Roman" w:hAnsi="Arial" w:cs="Arial"/>
          <w:sz w:val="24"/>
          <w:szCs w:val="24"/>
          <w:lang w:eastAsia="ru-RU"/>
        </w:rPr>
        <w:t xml:space="preserve"> января 2018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№13 </w:t>
      </w:r>
    </w:p>
    <w:p w:rsidR="000F776D" w:rsidRDefault="000F776D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76D" w:rsidRDefault="000F776D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Программы профилактики нарушений обязательных требований в сфере муниципального</w:t>
      </w:r>
      <w:r w:rsidR="008D4F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8D4FD1">
        <w:rPr>
          <w:rFonts w:ascii="Arial" w:eastAsia="Times New Roman" w:hAnsi="Arial" w:cs="Arial"/>
          <w:sz w:val="24"/>
          <w:szCs w:val="24"/>
          <w:lang w:eastAsia="ru-RU"/>
        </w:rPr>
        <w:t xml:space="preserve">жилищного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муниципального контроля за сохранностью автомобильных дорог местного значения на 2018 год </w:t>
      </w:r>
    </w:p>
    <w:p w:rsidR="000F776D" w:rsidRDefault="000F776D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76D" w:rsidRDefault="000F776D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76D" w:rsidRDefault="000F776D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8.2 Федерального закона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постановляет:</w:t>
      </w:r>
    </w:p>
    <w:p w:rsidR="000F776D" w:rsidRDefault="000F776D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1.Утвердить прилагаемую Программу профилактики нарушений обязательных требований в сфере муниципального жилищного контроля и муниципального контроля за сохранностью автомобильных дорог местного значения на 2018 год (далее-Программа профилактики нарушений).</w:t>
      </w:r>
    </w:p>
    <w:p w:rsidR="000F776D" w:rsidRDefault="000F776D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2.Должностным лицам, уполномоченным осуществлять муниципальный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жилищный  контроль</w:t>
      </w:r>
      <w:proofErr w:type="gramEnd"/>
      <w:r w:rsidR="00593DE4">
        <w:rPr>
          <w:rFonts w:ascii="Arial" w:eastAsia="Times New Roman" w:hAnsi="Arial" w:cs="Arial"/>
          <w:sz w:val="24"/>
          <w:szCs w:val="24"/>
          <w:lang w:eastAsia="ru-RU"/>
        </w:rPr>
        <w:t xml:space="preserve"> и контроль за сохранностью автомобильных дорог местного значения на территории </w:t>
      </w:r>
      <w:proofErr w:type="spellStart"/>
      <w:r w:rsidR="00593DE4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="00593D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обеспечить в пределах своей компетенции выполнение Программы профилактики нарушений.</w:t>
      </w:r>
    </w:p>
    <w:p w:rsidR="00593DE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3.Постановление вступает в силу со дня его подписания.</w:t>
      </w:r>
    </w:p>
    <w:p w:rsidR="00593DE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</w:p>
    <w:p w:rsidR="00593DE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А.С.Мельников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93DE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P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93DE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</w:t>
      </w:r>
    </w:p>
    <w:p w:rsidR="00593DE4" w:rsidRP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593DE4">
        <w:rPr>
          <w:rFonts w:ascii="Arial" w:eastAsia="Times New Roman" w:hAnsi="Arial" w:cs="Arial"/>
          <w:sz w:val="20"/>
          <w:szCs w:val="20"/>
          <w:lang w:eastAsia="ru-RU"/>
        </w:rPr>
        <w:t xml:space="preserve"> постановлению</w:t>
      </w:r>
    </w:p>
    <w:p w:rsidR="00593DE4" w:rsidRP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593DE4">
        <w:rPr>
          <w:rFonts w:ascii="Arial" w:eastAsia="Times New Roman" w:hAnsi="Arial" w:cs="Arial"/>
          <w:sz w:val="20"/>
          <w:szCs w:val="20"/>
          <w:lang w:eastAsia="ru-RU"/>
        </w:rPr>
        <w:t>дминистрации</w:t>
      </w:r>
    </w:p>
    <w:p w:rsidR="00593DE4" w:rsidRP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93DE4">
        <w:rPr>
          <w:rFonts w:ascii="Arial" w:eastAsia="Times New Roman" w:hAnsi="Arial" w:cs="Arial"/>
          <w:sz w:val="20"/>
          <w:szCs w:val="20"/>
          <w:lang w:eastAsia="ru-RU"/>
        </w:rPr>
        <w:t>Верхнекурмоярского</w:t>
      </w:r>
      <w:proofErr w:type="spellEnd"/>
    </w:p>
    <w:p w:rsidR="00593DE4" w:rsidRP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593DE4">
        <w:rPr>
          <w:rFonts w:ascii="Arial" w:eastAsia="Times New Roman" w:hAnsi="Arial" w:cs="Arial"/>
          <w:sz w:val="20"/>
          <w:szCs w:val="20"/>
          <w:lang w:eastAsia="ru-RU"/>
        </w:rPr>
        <w:t>ельского поселения</w:t>
      </w:r>
    </w:p>
    <w:p w:rsidR="00593DE4" w:rsidRP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93DE4">
        <w:rPr>
          <w:rFonts w:ascii="Arial" w:eastAsia="Times New Roman" w:hAnsi="Arial" w:cs="Arial"/>
          <w:sz w:val="20"/>
          <w:szCs w:val="20"/>
          <w:lang w:eastAsia="ru-RU"/>
        </w:rPr>
        <w:t>Котельниковского</w:t>
      </w:r>
      <w:proofErr w:type="spellEnd"/>
      <w:r w:rsidRPr="00593DE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93DE4" w:rsidRP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м</w:t>
      </w:r>
      <w:r w:rsidRPr="00593DE4">
        <w:rPr>
          <w:rFonts w:ascii="Arial" w:eastAsia="Times New Roman" w:hAnsi="Arial" w:cs="Arial"/>
          <w:sz w:val="20"/>
          <w:szCs w:val="20"/>
          <w:lang w:eastAsia="ru-RU"/>
        </w:rPr>
        <w:t>униципального района</w:t>
      </w:r>
    </w:p>
    <w:p w:rsidR="00593DE4" w:rsidRP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93DE4">
        <w:rPr>
          <w:rFonts w:ascii="Arial" w:eastAsia="Times New Roman" w:hAnsi="Arial" w:cs="Arial"/>
          <w:sz w:val="20"/>
          <w:szCs w:val="20"/>
          <w:lang w:eastAsia="ru-RU"/>
        </w:rPr>
        <w:t>Волгоградской области</w:t>
      </w:r>
    </w:p>
    <w:p w:rsid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593DE4">
        <w:rPr>
          <w:rFonts w:ascii="Arial" w:eastAsia="Times New Roman" w:hAnsi="Arial" w:cs="Arial"/>
          <w:sz w:val="20"/>
          <w:szCs w:val="20"/>
          <w:lang w:eastAsia="ru-RU"/>
        </w:rPr>
        <w:t>т 29.01.2018г. №13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3DE4" w:rsidRPr="00E46B9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6B94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</w:p>
    <w:p w:rsidR="00593DE4" w:rsidRPr="00E46B9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B94">
        <w:rPr>
          <w:rFonts w:ascii="Arial" w:eastAsia="Times New Roman" w:hAnsi="Arial" w:cs="Arial"/>
          <w:sz w:val="24"/>
          <w:szCs w:val="24"/>
          <w:lang w:eastAsia="ru-RU"/>
        </w:rPr>
        <w:t>профилактики нарушений обязательных требований в сфере муниципального жилищного контроля и контроля за сохранностью автомобильных дорог местного значения на 2018 год</w:t>
      </w:r>
    </w:p>
    <w:p w:rsidR="00593DE4" w:rsidRPr="00E46B9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Pr="00E46B9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Pr="00E46B9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B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1.Цель программы </w:t>
      </w:r>
    </w:p>
    <w:p w:rsidR="00593DE4" w:rsidRPr="00E46B9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B94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профилактики нарушений обязательных требований (далее-Программа) разработана в целях предупреждения нарушений юридическими лицами и индивидуальными предпринимателями обязательных требований, устранения </w:t>
      </w:r>
      <w:proofErr w:type="spellStart"/>
      <w:proofErr w:type="gramStart"/>
      <w:r w:rsidRPr="00E46B94">
        <w:rPr>
          <w:rFonts w:ascii="Arial" w:eastAsia="Times New Roman" w:hAnsi="Arial" w:cs="Arial"/>
          <w:sz w:val="24"/>
          <w:szCs w:val="24"/>
          <w:lang w:eastAsia="ru-RU"/>
        </w:rPr>
        <w:t>причин,факторов</w:t>
      </w:r>
      <w:proofErr w:type="spellEnd"/>
      <w:proofErr w:type="gramEnd"/>
      <w:r w:rsidRPr="00E46B94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E46B94">
        <w:rPr>
          <w:rFonts w:ascii="Arial" w:eastAsia="Times New Roman" w:hAnsi="Arial" w:cs="Arial"/>
          <w:sz w:val="24"/>
          <w:szCs w:val="24"/>
          <w:lang w:eastAsia="ru-RU"/>
        </w:rPr>
        <w:t>условий,способствующих</w:t>
      </w:r>
      <w:proofErr w:type="spellEnd"/>
      <w:r w:rsidRPr="00E46B94">
        <w:rPr>
          <w:rFonts w:ascii="Arial" w:eastAsia="Times New Roman" w:hAnsi="Arial" w:cs="Arial"/>
          <w:sz w:val="24"/>
          <w:szCs w:val="24"/>
          <w:lang w:eastAsia="ru-RU"/>
        </w:rPr>
        <w:t xml:space="preserve"> нарушениям обязательных требований.</w:t>
      </w:r>
    </w:p>
    <w:p w:rsidR="00593DE4" w:rsidRPr="00E46B9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Pr="00E46B9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B9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определяет мероприятия и сроки их реализации администрацией </w:t>
      </w:r>
      <w:proofErr w:type="spellStart"/>
      <w:r w:rsidRPr="00E46B94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E46B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(далее-администрация).</w:t>
      </w:r>
    </w:p>
    <w:p w:rsidR="00593DE4" w:rsidRPr="00E46B9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Pr="00E46B9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B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2.Мероприятия по профилактике нарушений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3591"/>
        <w:gridCol w:w="2402"/>
        <w:gridCol w:w="2529"/>
      </w:tblGrid>
      <w:tr w:rsidR="00593DE4" w:rsidRPr="00E46B94" w:rsidTr="00593DE4">
        <w:tc>
          <w:tcPr>
            <w:tcW w:w="84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82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3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337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93DE4" w:rsidRPr="00E46B94" w:rsidTr="00593DE4">
        <w:tc>
          <w:tcPr>
            <w:tcW w:w="84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на официальном сайте администрации в информационно-коммуникационной сети «</w:t>
            </w:r>
            <w:proofErr w:type="spellStart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</w:t>
            </w:r>
            <w:proofErr w:type="gramStart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»,в</w:t>
            </w:r>
            <w:proofErr w:type="spellEnd"/>
            <w:proofErr w:type="gramEnd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разделе «нормативно правовые акты</w:t>
            </w:r>
            <w:r w:rsid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spellStart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контроля,а</w:t>
            </w:r>
            <w:proofErr w:type="spellEnd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также текстов соответствующих нормативных правовых актов(регламентов)</w:t>
            </w:r>
          </w:p>
        </w:tc>
        <w:tc>
          <w:tcPr>
            <w:tcW w:w="233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Верхнекурмоярского</w:t>
            </w:r>
            <w:proofErr w:type="spellEnd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93DE4" w:rsidRPr="00E46B94" w:rsidTr="00593DE4">
        <w:tc>
          <w:tcPr>
            <w:tcW w:w="84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информирования </w:t>
            </w: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</w:t>
            </w:r>
            <w:proofErr w:type="gramStart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конференций ,разъяснительной</w:t>
            </w:r>
            <w:proofErr w:type="gramEnd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работы в средствах массовой информации и иными способами.</w:t>
            </w:r>
          </w:p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случае изменения обязательных требований-подготовка и распространение комментариев о содержании новых нормативных правовых </w:t>
            </w:r>
            <w:proofErr w:type="spellStart"/>
            <w:proofErr w:type="gramStart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актов,устанавливающих</w:t>
            </w:r>
            <w:proofErr w:type="spellEnd"/>
            <w:proofErr w:type="gramEnd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обязательные </w:t>
            </w:r>
            <w:proofErr w:type="spellStart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требования,внесенных</w:t>
            </w:r>
            <w:proofErr w:type="spellEnd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изменениях в действующие акты, сроках и порядке вступления их в </w:t>
            </w:r>
            <w:proofErr w:type="spellStart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действие,а</w:t>
            </w:r>
            <w:proofErr w:type="spellEnd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также рекомендаций о проведении необходимых организационных, технических </w:t>
            </w:r>
            <w:proofErr w:type="spellStart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мероприятий,направленных</w:t>
            </w:r>
            <w:proofErr w:type="spellEnd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внедрение и обеспечение соблюдения обязательных требований.</w:t>
            </w:r>
          </w:p>
        </w:tc>
        <w:tc>
          <w:tcPr>
            <w:tcW w:w="233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 мере внесения изменений в </w:t>
            </w: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нормативные правовые акты</w:t>
            </w:r>
          </w:p>
        </w:tc>
        <w:tc>
          <w:tcPr>
            <w:tcW w:w="2337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Верхнекурмоярского</w:t>
            </w:r>
            <w:proofErr w:type="spellEnd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593DE4" w:rsidRPr="00E46B94" w:rsidTr="00593DE4">
        <w:trPr>
          <w:trHeight w:val="2335"/>
        </w:trPr>
        <w:tc>
          <w:tcPr>
            <w:tcW w:w="84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2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муниципального жилищного контроля, а также муниципального контроля за сохранностью автомобильных дорог местного значения и размещение на официальном интернет-сайте администрации </w:t>
            </w:r>
            <w:proofErr w:type="spellStart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Верхнекурмоярского</w:t>
            </w:r>
            <w:proofErr w:type="spellEnd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 в разделе  </w:t>
            </w:r>
            <w:r w:rsid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 Проверки</w:t>
            </w: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соответствующих обобщений, в том числе с указанием наиболее часто встречающих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3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  <w:tc>
          <w:tcPr>
            <w:tcW w:w="2337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Верхнекурмоярского</w:t>
            </w:r>
            <w:proofErr w:type="spellEnd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93DE4" w:rsidRPr="00E46B94" w:rsidTr="00593DE4">
        <w:trPr>
          <w:trHeight w:val="2335"/>
        </w:trPr>
        <w:tc>
          <w:tcPr>
            <w:tcW w:w="84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2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контроля» (если иной порядок не установлен федеральным законом).</w:t>
            </w:r>
          </w:p>
        </w:tc>
        <w:tc>
          <w:tcPr>
            <w:tcW w:w="233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37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Верхнекурмоярского</w:t>
            </w:r>
            <w:proofErr w:type="spellEnd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593DE4" w:rsidRPr="00E46B9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Pr="00E46B9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Pr="00E46B9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Pr="00E46B9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Pr="00E46B9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Pr="00E46B9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Pr="00E46B9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76D" w:rsidRPr="000F776D" w:rsidRDefault="000F776D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106D9" w:rsidRDefault="000106D9"/>
    <w:sectPr w:rsidR="0001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6D"/>
    <w:rsid w:val="000106D9"/>
    <w:rsid w:val="000F776D"/>
    <w:rsid w:val="00593DE4"/>
    <w:rsid w:val="008D4FD1"/>
    <w:rsid w:val="00E4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F5A97-A90F-458B-8AE4-23F2863A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3</cp:revision>
  <cp:lastPrinted>2018-03-01T11:35:00Z</cp:lastPrinted>
  <dcterms:created xsi:type="dcterms:W3CDTF">2018-02-18T15:18:00Z</dcterms:created>
  <dcterms:modified xsi:type="dcterms:W3CDTF">2018-03-01T11:36:00Z</dcterms:modified>
</cp:coreProperties>
</file>